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1CA7" w:rsidRDefault="00D86DDB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O Concello adxudica as obras de mellora da mobilidade na rúa </w:t>
      </w:r>
      <w:proofErr w:type="spellStart"/>
      <w:r>
        <w:rPr>
          <w:rFonts w:ascii="Helvetica" w:hAnsi="Helvetica"/>
          <w:b/>
          <w:sz w:val="28"/>
          <w:szCs w:val="28"/>
        </w:rPr>
        <w:t>Nicomedes</w:t>
      </w:r>
      <w:proofErr w:type="spellEnd"/>
      <w:r>
        <w:rPr>
          <w:rFonts w:ascii="Helvetica" w:hAnsi="Helvetica"/>
          <w:b/>
          <w:sz w:val="28"/>
          <w:szCs w:val="28"/>
        </w:rPr>
        <w:t xml:space="preserve"> Pastor Díaz e na Alameda do Cruceiro, ás que destinará un investimento de 2 millóns de euros</w:t>
      </w:r>
    </w:p>
    <w:p w:rsidR="00BD1CA7" w:rsidRDefault="00BD1CA7">
      <w:pPr>
        <w:jc w:val="both"/>
        <w:rPr>
          <w:rFonts w:ascii="Helvetica" w:hAnsi="Helvetica"/>
          <w:b/>
        </w:rPr>
      </w:pPr>
    </w:p>
    <w:p w:rsidR="00BD1CA7" w:rsidRDefault="00D86DDB">
      <w:pPr>
        <w:pStyle w:val="Prrafodelista"/>
        <w:numPr>
          <w:ilvl w:val="0"/>
          <w:numId w:val="1"/>
        </w:num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A Xunta de Goberno Local aproba os convenios de colaboración do Concello con Banco de </w:t>
      </w:r>
      <w:r>
        <w:rPr>
          <w:rFonts w:ascii="Helvetica" w:hAnsi="Helvetica"/>
          <w:b/>
        </w:rPr>
        <w:t xml:space="preserve">Alimentos, ADO, Proxecto Home, Comité </w:t>
      </w:r>
      <w:proofErr w:type="spellStart"/>
      <w:r>
        <w:rPr>
          <w:rFonts w:ascii="Helvetica" w:hAnsi="Helvetica"/>
          <w:b/>
        </w:rPr>
        <w:t>Anti</w:t>
      </w:r>
      <w:proofErr w:type="spellEnd"/>
      <w:r>
        <w:rPr>
          <w:rFonts w:ascii="Helvetica" w:hAnsi="Helvetica"/>
          <w:b/>
        </w:rPr>
        <w:t>-SIDA, Limiar e Amencer</w:t>
      </w:r>
    </w:p>
    <w:p w:rsidR="00BD1CA7" w:rsidRDefault="00BD1CA7">
      <w:pPr>
        <w:jc w:val="both"/>
        <w:rPr>
          <w:rFonts w:ascii="Helvetica" w:hAnsi="Helvetica"/>
          <w:b/>
        </w:rPr>
      </w:pPr>
    </w:p>
    <w:p w:rsidR="00BD1CA7" w:rsidRDefault="00D86DDB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Ourense, 22 de decembro de 2022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A Xunta de Goberno Local do Concello de Ourense acordou na súa sesión desta mañá adxudicar as obras dos proxectos de mobilidade vertical e humanización da rú</w:t>
      </w:r>
      <w:r>
        <w:rPr>
          <w:rFonts w:ascii="Helvetica" w:hAnsi="Helvetica"/>
        </w:rPr>
        <w:t xml:space="preserve">a </w:t>
      </w:r>
      <w:proofErr w:type="spellStart"/>
      <w:r>
        <w:rPr>
          <w:rFonts w:ascii="Helvetica" w:hAnsi="Helvetica"/>
        </w:rPr>
        <w:t>Nicomedes</w:t>
      </w:r>
      <w:proofErr w:type="spellEnd"/>
      <w:r>
        <w:rPr>
          <w:rFonts w:ascii="Helvetica" w:hAnsi="Helvetica"/>
        </w:rPr>
        <w:t xml:space="preserve"> Pastor Díaz e de mellora da accesibilidade na Alameda do Cruceiro, dúas actuacións que suporán un investimento de conxunto de case dous millóns de euros. Na mesma sesión, aprobou os convenios de colaboración entre o Concello e diferentes entida</w:t>
      </w:r>
      <w:r>
        <w:rPr>
          <w:rFonts w:ascii="Helvetica" w:hAnsi="Helvetica"/>
        </w:rPr>
        <w:t xml:space="preserve">des que desenvolven o seu labor no ámbito dos servizos sociais (Banco de Alimentos e ADO), da Saúde (Proxecto Home e Comité </w:t>
      </w:r>
      <w:proofErr w:type="spellStart"/>
      <w:r>
        <w:rPr>
          <w:rFonts w:ascii="Helvetica" w:hAnsi="Helvetica"/>
        </w:rPr>
        <w:t>Antisida</w:t>
      </w:r>
      <w:proofErr w:type="spellEnd"/>
      <w:r>
        <w:rPr>
          <w:rFonts w:ascii="Helvetica" w:hAnsi="Helvetica"/>
        </w:rPr>
        <w:t>), da participación cidadá (Limiar) e xuvenil (Amencer). Na sesión desta mañá, que tivo lugar no salón de plenos do Concello</w:t>
      </w:r>
      <w:r>
        <w:rPr>
          <w:rFonts w:ascii="Helvetica" w:hAnsi="Helvetica"/>
        </w:rPr>
        <w:t>, tratáronse un total de 25 asuntos presentados polos diferentes servizos municipais.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Infraestruturas (2)</w:t>
      </w:r>
    </w:p>
    <w:p w:rsidR="00BD1CA7" w:rsidRDefault="00D86DDB">
      <w:pPr>
        <w:jc w:val="both"/>
        <w:rPr>
          <w:rFonts w:ascii="Helvetica" w:hAnsi="Helvetica" w:cs="Arial"/>
        </w:rPr>
      </w:pPr>
      <w:r>
        <w:t>·</w:t>
      </w:r>
      <w:r>
        <w:rPr>
          <w:rFonts w:ascii="Helvetica" w:hAnsi="Helvetica"/>
        </w:rPr>
        <w:t xml:space="preserve"> Adxudicar a Prace Servicios y Obras SA, o contrato das obras do proxecto de mobilidade vertical e humanización da rúa </w:t>
      </w:r>
      <w:proofErr w:type="spellStart"/>
      <w:r>
        <w:rPr>
          <w:rFonts w:ascii="Helvetica" w:hAnsi="Helvetica"/>
        </w:rPr>
        <w:t>Nicomedes</w:t>
      </w:r>
      <w:proofErr w:type="spellEnd"/>
      <w:r>
        <w:rPr>
          <w:rFonts w:ascii="Helvetica" w:hAnsi="Helvetica"/>
        </w:rPr>
        <w:t xml:space="preserve"> Pastor Díaz, de aco</w:t>
      </w:r>
      <w:r>
        <w:rPr>
          <w:rFonts w:ascii="Helvetica" w:hAnsi="Helvetica"/>
        </w:rPr>
        <w:t>rdo co proxecto técnico e o prego de cláusulas administrativas particulares aprobados por acordo da Xunta de Goberno Local e as ofertas presentadas, por resultar a oferta coa mellor relación calidade-prezo, por un prezo total de 1.561.259,94 €</w:t>
      </w:r>
    </w:p>
    <w:p w:rsidR="00BD1CA7" w:rsidRDefault="00BD1CA7">
      <w:pPr>
        <w:jc w:val="both"/>
        <w:rPr>
          <w:rFonts w:ascii="Helvetica" w:hAnsi="Helvetica" w:cs="Arial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>·</w:t>
      </w:r>
      <w:r>
        <w:rPr>
          <w:rFonts w:ascii="Helvetica" w:hAnsi="Helvetica" w:cs="Arial"/>
        </w:rPr>
        <w:t xml:space="preserve"> </w:t>
      </w:r>
      <w:r>
        <w:rPr>
          <w:rFonts w:ascii="Helvetica" w:hAnsi="Helvetica"/>
        </w:rPr>
        <w:t>Adxudicar</w:t>
      </w:r>
      <w:r>
        <w:rPr>
          <w:rFonts w:ascii="Helvetica" w:hAnsi="Helvetica"/>
        </w:rPr>
        <w:t xml:space="preserve"> a </w:t>
      </w:r>
      <w:proofErr w:type="spellStart"/>
      <w:r>
        <w:rPr>
          <w:rFonts w:ascii="Helvetica" w:hAnsi="Helvetica"/>
        </w:rPr>
        <w:t>Coviastec</w:t>
      </w:r>
      <w:proofErr w:type="spellEnd"/>
      <w:r>
        <w:rPr>
          <w:rFonts w:ascii="Helvetica" w:hAnsi="Helvetica"/>
        </w:rPr>
        <w:t xml:space="preserve"> SL, o contrato das obras do proxecto de mellora da accesibilidade na rúa Alameda do Cruceiro, de acordo co proxecto técnico e o prego de cláusulas administrativas particulares aprobados por acordo da Xunta de Goberno Local e as ofertas present</w:t>
      </w:r>
      <w:r>
        <w:rPr>
          <w:rFonts w:ascii="Helvetica" w:hAnsi="Helvetica"/>
        </w:rPr>
        <w:t>adas, por resultar a oferta coa mellor relación calidade-prezo, por un prezo total de 398.508,91 €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Licenzas (2)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 xml:space="preserve">· </w:t>
      </w:r>
      <w:r>
        <w:rPr>
          <w:rFonts w:ascii="Helvetica" w:hAnsi="Helvetica"/>
        </w:rPr>
        <w:t>Conceder a licenza urbanística de segregación dun baixo na Avenida de Marín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 xml:space="preserve">· </w:t>
      </w:r>
      <w:r>
        <w:rPr>
          <w:rFonts w:ascii="Helvetica" w:hAnsi="Helvetica"/>
        </w:rPr>
        <w:t>Conceder unha licenza para obras de instalación dun ascensor nu</w:t>
      </w:r>
      <w:r>
        <w:rPr>
          <w:rFonts w:ascii="Helvetica" w:hAnsi="Helvetica"/>
        </w:rPr>
        <w:t xml:space="preserve">n edificio na rúa </w:t>
      </w:r>
      <w:proofErr w:type="spellStart"/>
      <w:r>
        <w:rPr>
          <w:rFonts w:ascii="Helvetica" w:hAnsi="Helvetica"/>
        </w:rPr>
        <w:t>Bonhome</w:t>
      </w:r>
      <w:proofErr w:type="spellEnd"/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Patrimonio (1)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 xml:space="preserve">· </w:t>
      </w:r>
      <w:r>
        <w:rPr>
          <w:rFonts w:ascii="Helvetica" w:hAnsi="Helvetica"/>
        </w:rPr>
        <w:t>Arquivar un expediente de danos nun fito na estrada de Vigo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Rehabilitación (4)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Concesión de 4 axudas a outras tantas actuacións de rehabilitación e reforma de vivendas nas áreas de rehabilitación (ARRU) da cidad</w:t>
      </w:r>
      <w:r>
        <w:rPr>
          <w:rFonts w:ascii="Helvetica" w:hAnsi="Helvetica"/>
        </w:rPr>
        <w:t>e: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>·</w:t>
      </w:r>
      <w:r>
        <w:rPr>
          <w:rFonts w:ascii="Helvetica" w:hAnsi="Helvetica" w:cs="Helvetica"/>
        </w:rPr>
        <w:t xml:space="preserve"> Rehabilitación dun edificio na rúa </w:t>
      </w:r>
      <w:proofErr w:type="spellStart"/>
      <w:r>
        <w:rPr>
          <w:rFonts w:ascii="Helvetica" w:hAnsi="Helvetica" w:cs="Helvetica"/>
        </w:rPr>
        <w:t>Carriarico</w:t>
      </w:r>
      <w:proofErr w:type="spellEnd"/>
      <w:r>
        <w:rPr>
          <w:rFonts w:ascii="Helvetica" w:hAnsi="Helvetica" w:cs="Helvetica"/>
        </w:rPr>
        <w:t xml:space="preserve"> (dentro da ARRU O </w:t>
      </w:r>
      <w:proofErr w:type="spellStart"/>
      <w:r>
        <w:rPr>
          <w:rFonts w:ascii="Helvetica" w:hAnsi="Helvetica" w:cs="Helvetica"/>
        </w:rPr>
        <w:t>Polvorín</w:t>
      </w:r>
      <w:proofErr w:type="spellEnd"/>
      <w:r>
        <w:rPr>
          <w:rFonts w:ascii="Helvetica" w:hAnsi="Helvetica" w:cs="Helvetica"/>
        </w:rPr>
        <w:t xml:space="preserve">, As Camelias, A Carballeira), á que se lle outorga unha </w:t>
      </w:r>
      <w:r>
        <w:rPr>
          <w:rFonts w:ascii="Helvetica" w:hAnsi="Helvetica"/>
        </w:rPr>
        <w:t>subvención de 12.775,15 €.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>·</w:t>
      </w:r>
      <w:r>
        <w:rPr>
          <w:rFonts w:ascii="Helvetica" w:hAnsi="Helvetica" w:cs="Helvetica"/>
        </w:rPr>
        <w:t xml:space="preserve"> Obras de illamento térmico exterior nunha vivenda na rúa Sol, na ARRU do Núcleo de Seixalbo,</w:t>
      </w:r>
      <w:r>
        <w:rPr>
          <w:rFonts w:ascii="Helvetica" w:hAnsi="Helvetica" w:cs="Helvetica"/>
        </w:rPr>
        <w:t xml:space="preserve"> por un importe de 7.931,46 €.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>·</w:t>
      </w:r>
      <w:r>
        <w:rPr>
          <w:rFonts w:ascii="Helvetica" w:hAnsi="Helvetica" w:cs="Helvetica"/>
        </w:rPr>
        <w:t xml:space="preserve"> Instalación de caldeira de </w:t>
      </w:r>
      <w:proofErr w:type="spellStart"/>
      <w:r>
        <w:rPr>
          <w:rFonts w:ascii="Helvetica" w:hAnsi="Helvetica" w:cs="Helvetica"/>
        </w:rPr>
        <w:t>pellets</w:t>
      </w:r>
      <w:proofErr w:type="spellEnd"/>
      <w:r>
        <w:rPr>
          <w:rFonts w:ascii="Helvetica" w:hAnsi="Helvetica" w:cs="Helvetica"/>
        </w:rPr>
        <w:t xml:space="preserve"> e obras auxiliares nun edificio de vivendas na Rúa Vázquez Núñez</w:t>
      </w:r>
      <w:r>
        <w:rPr>
          <w:rFonts w:ascii="Helvetica" w:hAnsi="Helvetica"/>
        </w:rPr>
        <w:t xml:space="preserve">, na </w:t>
      </w:r>
      <w:r>
        <w:rPr>
          <w:rFonts w:ascii="Helvetica" w:hAnsi="Helvetica" w:cs="Helvetica"/>
        </w:rPr>
        <w:t xml:space="preserve">ARRU O </w:t>
      </w:r>
      <w:proofErr w:type="spellStart"/>
      <w:r>
        <w:rPr>
          <w:rFonts w:ascii="Helvetica" w:hAnsi="Helvetica" w:cs="Helvetica"/>
        </w:rPr>
        <w:t>Polvorín</w:t>
      </w:r>
      <w:proofErr w:type="spellEnd"/>
      <w:r>
        <w:rPr>
          <w:rFonts w:ascii="Helvetica" w:hAnsi="Helvetica" w:cs="Helvetica"/>
        </w:rPr>
        <w:t>, As Camelias, A Carballeira,</w:t>
      </w:r>
      <w:r>
        <w:rPr>
          <w:rFonts w:ascii="Helvetica" w:hAnsi="Helvetica"/>
        </w:rPr>
        <w:t xml:space="preserve"> por un importe de 2.793,50 €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>·</w:t>
      </w:r>
      <w:r>
        <w:rPr>
          <w:rFonts w:ascii="Helvetica" w:hAnsi="Helvetica" w:cs="Helvetica"/>
        </w:rPr>
        <w:t xml:space="preserve"> Obras de substitución de carpinterías exter</w:t>
      </w:r>
      <w:r>
        <w:rPr>
          <w:rFonts w:ascii="Helvetica" w:hAnsi="Helvetica" w:cs="Helvetica"/>
        </w:rPr>
        <w:t>iores nunha vivenda na rúa Emilia Pardo Bazán, na ARRU do Centro Histórico, por un importe de 2.992,50 €.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Infraestruturas (1)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Rectificar un acordo da XGL do 10 de febreiro relativo á devolución dunha fianza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Xestión económica e orzamentaria (1)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Aprobar unha relación de facturas por un importe total de 4.548,98 € correspondentes a gastos realizados en exercicios anteriores que non puideron seguir a tramitación ordinaria para a súa aprobación nos devanditos exercicios. 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Sanidade (2)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Aprobar a conc</w:t>
      </w:r>
      <w:r>
        <w:rPr>
          <w:rFonts w:ascii="Helvetica" w:hAnsi="Helvetica"/>
        </w:rPr>
        <w:t>esión de subvencións nominativas e os convenios de colaboración do Concello con dúas entidades: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>·</w:t>
      </w:r>
      <w:r>
        <w:rPr>
          <w:rFonts w:ascii="Helvetica" w:hAnsi="Helvetica" w:cs="Helvetica"/>
        </w:rPr>
        <w:t xml:space="preserve"> Coa Fundación Monte do Gozo - Proxecto Home, polo importe de 25.000 euros, para o financiamento do proxecto educativo-terapéutico de activida</w:t>
      </w:r>
      <w:r>
        <w:rPr>
          <w:rFonts w:ascii="Helvetica" w:hAnsi="Helvetica"/>
        </w:rPr>
        <w:t>des de rehabilit</w:t>
      </w:r>
      <w:r>
        <w:rPr>
          <w:rFonts w:ascii="Helvetica" w:hAnsi="Helvetica"/>
        </w:rPr>
        <w:t xml:space="preserve">ación e inserción </w:t>
      </w:r>
      <w:proofErr w:type="spellStart"/>
      <w:r>
        <w:rPr>
          <w:rFonts w:ascii="Helvetica" w:hAnsi="Helvetica"/>
        </w:rPr>
        <w:t>sociolaboral</w:t>
      </w:r>
      <w:proofErr w:type="spellEnd"/>
      <w:r>
        <w:rPr>
          <w:rFonts w:ascii="Helvetica" w:hAnsi="Helvetica"/>
        </w:rPr>
        <w:t xml:space="preserve"> en réxime residencial de condutas aditivas para persoas con adicións correspondente ao exercicio 2022. 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>·</w:t>
      </w:r>
      <w:r>
        <w:rPr>
          <w:rFonts w:ascii="Helvetica" w:hAnsi="Helvetica" w:cs="Helvetica"/>
        </w:rPr>
        <w:t xml:space="preserve"> Coa Asociación Comité Cidadán </w:t>
      </w:r>
      <w:proofErr w:type="spellStart"/>
      <w:r>
        <w:rPr>
          <w:rFonts w:ascii="Helvetica" w:hAnsi="Helvetica" w:cs="Helvetica"/>
        </w:rPr>
        <w:t>Anti</w:t>
      </w:r>
      <w:proofErr w:type="spellEnd"/>
      <w:r>
        <w:rPr>
          <w:rFonts w:ascii="Helvetica" w:hAnsi="Helvetica" w:cs="Helvetica"/>
        </w:rPr>
        <w:t>-SIDA de Ourense, polo</w:t>
      </w:r>
      <w:r>
        <w:rPr>
          <w:rFonts w:ascii="Helvetica" w:hAnsi="Helvetica" w:cs="Helvetica"/>
        </w:rPr>
        <w:t xml:space="preserve"> importe de 25.000 euros, para o financiamento dun programa de redución de riscos en persoas usuarias de drogas por vía parenteral correspondente o exercicio 2022.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Asuntos sociais (2)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 xml:space="preserve">· </w:t>
      </w:r>
      <w:r>
        <w:rPr>
          <w:rFonts w:ascii="Helvetica" w:hAnsi="Helvetica"/>
        </w:rPr>
        <w:t>Aprobar o Convenio de colaboración entre o Concello de Ourense e o Ba</w:t>
      </w:r>
      <w:r>
        <w:rPr>
          <w:rFonts w:ascii="Helvetica" w:hAnsi="Helvetica"/>
        </w:rPr>
        <w:t>nco de Alimentos de Ourense, polo importe de 21.000,00 €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 xml:space="preserve">· </w:t>
      </w:r>
      <w:r>
        <w:rPr>
          <w:rFonts w:ascii="Helvetica" w:hAnsi="Helvetica"/>
        </w:rPr>
        <w:t xml:space="preserve">Aprobar o Convenio de colaboración entre o Concello de Ourense e a Asociación de Persoas con Discapacidade de Ourense (ADO), polo importe de </w:t>
      </w:r>
      <w:r>
        <w:rPr>
          <w:rFonts w:ascii="Helvetica" w:hAnsi="Helvetica"/>
        </w:rPr>
        <w:lastRenderedPageBreak/>
        <w:t>21.000 euros, para financiar o proxecto de fomento e de</w:t>
      </w:r>
      <w:r>
        <w:rPr>
          <w:rFonts w:ascii="Helvetica" w:hAnsi="Helvetica"/>
        </w:rPr>
        <w:t>senvolvemento da autonomía para persoas con discapacidade intelectual.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Xuventude (1)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Aprobar o convenio polo que o Concello de Ourense lle concede unha subvención nominativa á Asociación Xuvenil Amencer, recollida no vixente Orzamento municipal, polo impo</w:t>
      </w:r>
      <w:r>
        <w:rPr>
          <w:rFonts w:ascii="Helvetica" w:hAnsi="Helvetica"/>
        </w:rPr>
        <w:t>rte de 11.000 euros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Participación cidadá (1)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Aprobar o convenio polo que o Concello lle concede unha subvención nominativa á Federación de Asociacións Veciñais de Ourense, Limiar,  recollida no vixente Orzamento municipal, polo importe de 15.200 euros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Av</w:t>
      </w:r>
      <w:r>
        <w:rPr>
          <w:rFonts w:ascii="Helvetica" w:hAnsi="Helvetica"/>
        </w:rPr>
        <w:t>ogacía Consistorial (11)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 xml:space="preserve">· </w:t>
      </w:r>
      <w:r>
        <w:rPr>
          <w:rFonts w:ascii="Helvetica" w:hAnsi="Helvetica"/>
        </w:rPr>
        <w:t>Sentenza do Tribunal Superior de Xustiza de Galicia que estima parcialmente o recurso interposto polo Concello contra a sentenza do Xulgado do Contencioso Administrativo numero 1 de Ourense que anulaba o capítulo 1 dos orzamento</w:t>
      </w:r>
      <w:r>
        <w:rPr>
          <w:rFonts w:ascii="Helvetica" w:hAnsi="Helvetica"/>
        </w:rPr>
        <w:t xml:space="preserve">s do Concello para 2020 e aqueles actos e disposicións que foron aprobados en materia de persoal polo Concello en 2020 sen a negociación colectiva obrigatoria coa parte sindical. </w:t>
      </w: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A sentenza do TSXG que hoxe se coñeceu confirma, en parte, a anterior, xa qu</w:t>
      </w:r>
      <w:r>
        <w:rPr>
          <w:rFonts w:ascii="Helvetica" w:hAnsi="Helvetica"/>
        </w:rPr>
        <w:t xml:space="preserve">e mantén a anulación do capítulo 1 dos orzamentos pero, atendendo os argumentos expostos polo Concello,  non anula aqueles actos e disposicións que foran aprobados en materia de persoal. 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 xml:space="preserve">· </w:t>
      </w:r>
      <w:r>
        <w:rPr>
          <w:rFonts w:ascii="Helvetica" w:hAnsi="Helvetica"/>
        </w:rPr>
        <w:t xml:space="preserve">Sentenza do Xulgado de primeira instancia favorable ao Concello </w:t>
      </w:r>
      <w:r>
        <w:rPr>
          <w:rFonts w:ascii="Helvetica" w:hAnsi="Helvetica"/>
        </w:rPr>
        <w:t>nun xuízo verbal por conformidade da outra parte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 xml:space="preserve">· </w:t>
      </w:r>
      <w:r>
        <w:rPr>
          <w:rFonts w:ascii="Helvetica" w:hAnsi="Helvetica"/>
        </w:rPr>
        <w:t>Sentenza do Xulgado Contencioso Administrativo número 1, que estima o recurso dunha traballadora do Concello á que se lle denegara unha solicitude de axuda social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Arial" w:hAnsi="Arial" w:cs="Arial"/>
        </w:rPr>
        <w:t xml:space="preserve">· </w:t>
      </w:r>
      <w:r>
        <w:rPr>
          <w:rFonts w:ascii="Helvetica" w:hAnsi="Helvetica"/>
        </w:rPr>
        <w:t>Sentenza do Xulgado do Contencioso Adm</w:t>
      </w:r>
      <w:r>
        <w:rPr>
          <w:rFonts w:ascii="Helvetica" w:hAnsi="Helvetica"/>
        </w:rPr>
        <w:t>inistrativo número 1, que desestima o recurso interposto por un particular e avala a legalidade dunha licenza concedida polo Concello.</w:t>
      </w:r>
    </w:p>
    <w:p w:rsidR="00BD1CA7" w:rsidRDefault="00BD1CA7">
      <w:pPr>
        <w:jc w:val="both"/>
        <w:rPr>
          <w:rFonts w:ascii="Helvetica" w:hAnsi="Helvetica"/>
        </w:rPr>
      </w:pPr>
    </w:p>
    <w:p w:rsidR="00BD1CA7" w:rsidRDefault="00D86DDB">
      <w:pPr>
        <w:jc w:val="both"/>
        <w:rPr>
          <w:rFonts w:ascii="Helvetica" w:hAnsi="Helvetica"/>
        </w:rPr>
      </w:pPr>
      <w:r>
        <w:rPr>
          <w:rFonts w:ascii="Helvetica" w:hAnsi="Helvetica"/>
        </w:rPr>
        <w:t>A Xunta Local tamén deu conta de que Concello comparecerá diante dos xulgados do contencioso administrativo en 7 procede</w:t>
      </w:r>
      <w:r>
        <w:rPr>
          <w:rFonts w:ascii="Helvetica" w:hAnsi="Helvetica"/>
        </w:rPr>
        <w:t xml:space="preserve">mentos abreviados. </w:t>
      </w:r>
    </w:p>
    <w:sectPr w:rsidR="00BD1CA7" w:rsidSect="00BD1CA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096" w:right="1701" w:bottom="1417" w:left="1701" w:header="1417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A7" w:rsidRDefault="00BD1CA7" w:rsidP="00BD1CA7">
      <w:r>
        <w:separator/>
      </w:r>
    </w:p>
  </w:endnote>
  <w:endnote w:type="continuationSeparator" w:id="0">
    <w:p w:rsidR="00BD1CA7" w:rsidRDefault="00BD1CA7" w:rsidP="00BD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A7" w:rsidRDefault="00BD1C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A7" w:rsidRDefault="00BD1CA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A7" w:rsidRDefault="00BD1C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A7" w:rsidRDefault="00BD1CA7" w:rsidP="00BD1CA7">
      <w:r>
        <w:separator/>
      </w:r>
    </w:p>
  </w:footnote>
  <w:footnote w:type="continuationSeparator" w:id="0">
    <w:p w:rsidR="00BD1CA7" w:rsidRDefault="00BD1CA7" w:rsidP="00BD1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09" w:type="dxa"/>
      <w:tblLayout w:type="fixed"/>
      <w:tblCellMar>
        <w:left w:w="0" w:type="dxa"/>
        <w:right w:w="0" w:type="dxa"/>
      </w:tblCellMar>
      <w:tblLook w:val="0000"/>
    </w:tblPr>
    <w:tblGrid>
      <w:gridCol w:w="3994"/>
      <w:gridCol w:w="1672"/>
      <w:gridCol w:w="2843"/>
    </w:tblGrid>
    <w:tr w:rsidR="00BD1CA7">
      <w:tc>
        <w:tcPr>
          <w:tcW w:w="3994" w:type="dxa"/>
          <w:shd w:val="clear" w:color="auto" w:fill="auto"/>
        </w:tcPr>
        <w:p w:rsidR="00BD1CA7" w:rsidRDefault="00BD1CA7">
          <w:pPr>
            <w:pStyle w:val="Contenidodelatabla"/>
            <w:widowControl w:val="0"/>
            <w:snapToGrid w:val="0"/>
          </w:pPr>
          <w:r w:rsidRPr="00BD1CA7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o:spid="_x0000_s2049" type="#_x0000_t75" style="position:absolute;margin-left:0;margin-top:0;width:197.95pt;height:54.45pt;z-index:251657728;mso-wrap-style:none;mso-position-horizontal:center;v-text-anchor:middle" strokecolor="#3465a4">
                <v:stroke joinstyle="round"/>
                <v:imagedata r:id="rId1" o:title="image1"/>
                <w10:wrap type="topAndBottom"/>
              </v:shape>
            </w:pict>
          </w:r>
        </w:p>
      </w:tc>
      <w:tc>
        <w:tcPr>
          <w:tcW w:w="1672" w:type="dxa"/>
          <w:shd w:val="clear" w:color="auto" w:fill="auto"/>
        </w:tcPr>
        <w:p w:rsidR="00BD1CA7" w:rsidRDefault="00BD1CA7">
          <w:pPr>
            <w:pStyle w:val="Contenidodelatabla"/>
            <w:widowControl w:val="0"/>
            <w:snapToGrid w:val="0"/>
            <w:rPr>
              <w:rFonts w:ascii="Helvetica" w:hAnsi="Helvetica" w:cs="Helvetica"/>
            </w:rPr>
          </w:pPr>
        </w:p>
      </w:tc>
      <w:tc>
        <w:tcPr>
          <w:tcW w:w="2843" w:type="dxa"/>
          <w:shd w:val="clear" w:color="auto" w:fill="auto"/>
        </w:tcPr>
        <w:p w:rsidR="00BD1CA7" w:rsidRDefault="00D86DDB">
          <w:pPr>
            <w:pStyle w:val="Contenidodelatabla"/>
            <w:widowControl w:val="0"/>
            <w:rPr>
              <w:rFonts w:ascii="Helvetica" w:hAnsi="Helvetica" w:cs="Helvetica"/>
            </w:rPr>
          </w:pPr>
          <w:r>
            <w:rPr>
              <w:rFonts w:ascii="Helvetica" w:hAnsi="Helvetica" w:cs="Helvetica"/>
              <w:b/>
              <w:bCs/>
            </w:rPr>
            <w:t>Gabinete de Prensa</w:t>
          </w:r>
        </w:p>
        <w:p w:rsidR="00BD1CA7" w:rsidRDefault="00D86DDB">
          <w:pPr>
            <w:pStyle w:val="Contenidodelatabla"/>
            <w:widowControl w:val="0"/>
            <w:rPr>
              <w:rFonts w:ascii="Helvetica" w:hAnsi="Helvetica" w:cs="Helvetica"/>
            </w:rPr>
          </w:pPr>
          <w:r>
            <w:rPr>
              <w:rFonts w:ascii="Helvetica" w:hAnsi="Helvetica" w:cs="Helvetica"/>
            </w:rPr>
            <w:t>Concello de Ourense</w:t>
          </w:r>
        </w:p>
        <w:p w:rsidR="00BD1CA7" w:rsidRDefault="00D86DDB">
          <w:pPr>
            <w:widowControl w:val="0"/>
            <w:rPr>
              <w:rFonts w:ascii="Helvetica" w:hAnsi="Helvetica" w:cs="Helvetica"/>
            </w:rPr>
          </w:pPr>
          <w:r>
            <w:rPr>
              <w:rFonts w:ascii="Helvetica" w:hAnsi="Helvetica" w:cs="Helvetica"/>
            </w:rPr>
            <w:t>prensa@ourense.gal</w:t>
          </w:r>
        </w:p>
        <w:p w:rsidR="00BD1CA7" w:rsidRDefault="00D86DDB">
          <w:pPr>
            <w:pStyle w:val="Contenidodelatabla"/>
            <w:widowControl w:val="0"/>
          </w:pPr>
          <w:r>
            <w:rPr>
              <w:rFonts w:ascii="Helvetica" w:hAnsi="Helvetica" w:cs="Helvetica"/>
            </w:rPr>
            <w:t>988.388.121</w:t>
          </w:r>
        </w:p>
      </w:tc>
    </w:tr>
  </w:tbl>
  <w:p w:rsidR="00BD1CA7" w:rsidRDefault="00BD1C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107"/>
    <w:multiLevelType w:val="multilevel"/>
    <w:tmpl w:val="464E8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9577B1"/>
    <w:multiLevelType w:val="multilevel"/>
    <w:tmpl w:val="2FA8B42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1CA7"/>
    <w:rsid w:val="00BD1CA7"/>
    <w:rsid w:val="00D8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08"/>
    <w:rPr>
      <w:sz w:val="24"/>
      <w:szCs w:val="24"/>
      <w:lang w:val="gl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141408"/>
    <w:rPr>
      <w:rFonts w:ascii="Symbol" w:hAnsi="Symbol" w:cs="OpenSymbol"/>
      <w:caps w:val="0"/>
      <w:smallCaps w:val="0"/>
      <w:sz w:val="12"/>
      <w:szCs w:val="12"/>
    </w:rPr>
  </w:style>
  <w:style w:type="character" w:customStyle="1" w:styleId="WW8Num1z1">
    <w:name w:val="WW8Num1z1"/>
    <w:qFormat/>
    <w:rsid w:val="00141408"/>
    <w:rPr>
      <w:rFonts w:ascii="OpenSymbol" w:hAnsi="OpenSymbol" w:cs="OpenSymbol"/>
    </w:rPr>
  </w:style>
  <w:style w:type="character" w:customStyle="1" w:styleId="WW8Num1z2">
    <w:name w:val="WW8Num1z2"/>
    <w:qFormat/>
    <w:rsid w:val="00141408"/>
    <w:rPr>
      <w:rFonts w:ascii="Wingdings" w:hAnsi="Wingdings" w:cs="Wingdings"/>
    </w:rPr>
  </w:style>
  <w:style w:type="character" w:customStyle="1" w:styleId="WW8Num1z3">
    <w:name w:val="WW8Num1z3"/>
    <w:qFormat/>
    <w:rsid w:val="00141408"/>
    <w:rPr>
      <w:rFonts w:ascii="Symbol" w:hAnsi="Symbol" w:cs="Symbol"/>
    </w:rPr>
  </w:style>
  <w:style w:type="character" w:customStyle="1" w:styleId="WW8Num2z0">
    <w:name w:val="WW8Num2z0"/>
    <w:qFormat/>
    <w:rsid w:val="00141408"/>
  </w:style>
  <w:style w:type="character" w:customStyle="1" w:styleId="WW8Num2z1">
    <w:name w:val="WW8Num2z1"/>
    <w:qFormat/>
    <w:rsid w:val="00141408"/>
  </w:style>
  <w:style w:type="character" w:customStyle="1" w:styleId="WW8Num2z2">
    <w:name w:val="WW8Num2z2"/>
    <w:qFormat/>
    <w:rsid w:val="00141408"/>
  </w:style>
  <w:style w:type="character" w:customStyle="1" w:styleId="WW8Num2z3">
    <w:name w:val="WW8Num2z3"/>
    <w:qFormat/>
    <w:rsid w:val="00141408"/>
  </w:style>
  <w:style w:type="character" w:customStyle="1" w:styleId="WW8Num2z4">
    <w:name w:val="WW8Num2z4"/>
    <w:qFormat/>
    <w:rsid w:val="00141408"/>
  </w:style>
  <w:style w:type="character" w:customStyle="1" w:styleId="WW8Num2z5">
    <w:name w:val="WW8Num2z5"/>
    <w:qFormat/>
    <w:rsid w:val="00141408"/>
  </w:style>
  <w:style w:type="character" w:customStyle="1" w:styleId="WW8Num2z6">
    <w:name w:val="WW8Num2z6"/>
    <w:qFormat/>
    <w:rsid w:val="00141408"/>
  </w:style>
  <w:style w:type="character" w:customStyle="1" w:styleId="WW8Num2z7">
    <w:name w:val="WW8Num2z7"/>
    <w:qFormat/>
    <w:rsid w:val="00141408"/>
  </w:style>
  <w:style w:type="character" w:customStyle="1" w:styleId="WW8Num2z8">
    <w:name w:val="WW8Num2z8"/>
    <w:qFormat/>
    <w:rsid w:val="00141408"/>
  </w:style>
  <w:style w:type="character" w:customStyle="1" w:styleId="WW8Num3z0">
    <w:name w:val="WW8Num3z0"/>
    <w:qFormat/>
    <w:rsid w:val="00141408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141408"/>
    <w:rPr>
      <w:rFonts w:ascii="Courier New" w:hAnsi="Courier New" w:cs="Courier New"/>
    </w:rPr>
  </w:style>
  <w:style w:type="character" w:customStyle="1" w:styleId="WW8Num3z2">
    <w:name w:val="WW8Num3z2"/>
    <w:qFormat/>
    <w:rsid w:val="00141408"/>
    <w:rPr>
      <w:rFonts w:ascii="Wingdings" w:hAnsi="Wingdings" w:cs="Wingdings"/>
    </w:rPr>
  </w:style>
  <w:style w:type="character" w:customStyle="1" w:styleId="WW8Num3z3">
    <w:name w:val="WW8Num3z3"/>
    <w:qFormat/>
    <w:rsid w:val="00141408"/>
    <w:rPr>
      <w:rFonts w:ascii="Symbol" w:hAnsi="Symbol" w:cs="Symbol"/>
    </w:rPr>
  </w:style>
  <w:style w:type="character" w:customStyle="1" w:styleId="Fuentedeprrafopredeter4">
    <w:name w:val="Fuente de párrafo predeter.4"/>
    <w:qFormat/>
    <w:rsid w:val="00141408"/>
  </w:style>
  <w:style w:type="character" w:customStyle="1" w:styleId="Fuentedeprrafopredeter3">
    <w:name w:val="Fuente de párrafo predeter.3"/>
    <w:qFormat/>
    <w:rsid w:val="00141408"/>
  </w:style>
  <w:style w:type="character" w:customStyle="1" w:styleId="Fuentedeprrafopredeter2">
    <w:name w:val="Fuente de párrafo predeter.2"/>
    <w:qFormat/>
    <w:rsid w:val="00141408"/>
  </w:style>
  <w:style w:type="character" w:customStyle="1" w:styleId="Fuentedeprrafopredeter1">
    <w:name w:val="Fuente de párrafo predeter.1"/>
    <w:qFormat/>
    <w:rsid w:val="00141408"/>
  </w:style>
  <w:style w:type="character" w:customStyle="1" w:styleId="Ligazndainternet">
    <w:name w:val="Ligazón da internet"/>
    <w:basedOn w:val="Fuentedeprrafopredeter"/>
    <w:uiPriority w:val="99"/>
    <w:unhideWhenUsed/>
    <w:rsid w:val="00901D80"/>
    <w:rPr>
      <w:color w:val="0000FF" w:themeColor="hyperlink"/>
      <w:u w:val="single"/>
    </w:rPr>
  </w:style>
  <w:style w:type="character" w:customStyle="1" w:styleId="Vietas">
    <w:name w:val="Viñetas"/>
    <w:qFormat/>
    <w:rsid w:val="00141408"/>
    <w:rPr>
      <w:rFonts w:ascii="OpenSymbol" w:eastAsia="OpenSymbol" w:hAnsi="OpenSymbol" w:cs="OpenSymbol"/>
    </w:rPr>
  </w:style>
  <w:style w:type="character" w:styleId="Textoennegrita">
    <w:name w:val="Strong"/>
    <w:qFormat/>
    <w:rsid w:val="00141408"/>
    <w:rPr>
      <w:b/>
      <w:bCs/>
    </w:rPr>
  </w:style>
  <w:style w:type="character" w:customStyle="1" w:styleId="nfase">
    <w:name w:val="Énfase"/>
    <w:qFormat/>
    <w:rsid w:val="00141408"/>
    <w:rPr>
      <w:i/>
      <w:iCs/>
    </w:rPr>
  </w:style>
  <w:style w:type="character" w:customStyle="1" w:styleId="il">
    <w:name w:val="il"/>
    <w:basedOn w:val="Fuentedeprrafopredeter4"/>
    <w:qFormat/>
    <w:rsid w:val="00141408"/>
  </w:style>
  <w:style w:type="paragraph" w:styleId="Ttulo">
    <w:name w:val="Title"/>
    <w:basedOn w:val="Normal"/>
    <w:next w:val="Textoindependiente"/>
    <w:qFormat/>
    <w:rsid w:val="00DC72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141408"/>
    <w:pPr>
      <w:spacing w:after="120"/>
    </w:pPr>
  </w:style>
  <w:style w:type="paragraph" w:styleId="Lista">
    <w:name w:val="List"/>
    <w:basedOn w:val="Textoindependiente"/>
    <w:rsid w:val="00141408"/>
    <w:rPr>
      <w:rFonts w:cs="Mangal"/>
    </w:rPr>
  </w:style>
  <w:style w:type="paragraph" w:customStyle="1" w:styleId="Caption">
    <w:name w:val="Caption"/>
    <w:basedOn w:val="Normal"/>
    <w:qFormat/>
    <w:rsid w:val="00DC72CE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141408"/>
    <w:pPr>
      <w:suppressLineNumbers/>
    </w:pPr>
    <w:rPr>
      <w:rFonts w:cs="Mangal"/>
    </w:rPr>
  </w:style>
  <w:style w:type="paragraph" w:customStyle="1" w:styleId="Encabezado4">
    <w:name w:val="Encabezado4"/>
    <w:basedOn w:val="Normal"/>
    <w:next w:val="Textoindependiente"/>
    <w:qFormat/>
    <w:rsid w:val="0014140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qFormat/>
    <w:rsid w:val="00141408"/>
    <w:pPr>
      <w:suppressLineNumbers/>
      <w:spacing w:before="120" w:after="120"/>
    </w:pPr>
    <w:rPr>
      <w:rFonts w:cs="Mangal"/>
      <w:i/>
      <w:iCs/>
    </w:rPr>
  </w:style>
  <w:style w:type="paragraph" w:customStyle="1" w:styleId="Encabezado3">
    <w:name w:val="Encabezado3"/>
    <w:basedOn w:val="Normal"/>
    <w:next w:val="Textoindependiente"/>
    <w:qFormat/>
    <w:rsid w:val="0014140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Encabezado2">
    <w:name w:val="Encabezado2"/>
    <w:basedOn w:val="Normal"/>
    <w:next w:val="Textoindependiente"/>
    <w:qFormat/>
    <w:rsid w:val="001414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rsid w:val="001414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Web">
    <w:name w:val="Normal (Web)"/>
    <w:basedOn w:val="Normal"/>
    <w:qFormat/>
    <w:rsid w:val="00141408"/>
    <w:pPr>
      <w:spacing w:before="280" w:after="280"/>
    </w:pPr>
    <w:rPr>
      <w:lang w:val="es-ES"/>
    </w:rPr>
  </w:style>
  <w:style w:type="paragraph" w:customStyle="1" w:styleId="Cabeceiraerodap">
    <w:name w:val="Cabeceira e rodapé"/>
    <w:basedOn w:val="Normal"/>
    <w:qFormat/>
    <w:rsid w:val="00DC72CE"/>
  </w:style>
  <w:style w:type="paragraph" w:customStyle="1" w:styleId="Header">
    <w:name w:val="Header"/>
    <w:basedOn w:val="Normal"/>
    <w:rsid w:val="00141408"/>
    <w:pPr>
      <w:suppressLineNumbers/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rsid w:val="00141408"/>
    <w:pPr>
      <w:suppressLineNumbers/>
    </w:pPr>
  </w:style>
  <w:style w:type="paragraph" w:customStyle="1" w:styleId="Footer">
    <w:name w:val="Footer"/>
    <w:basedOn w:val="Normal"/>
    <w:rsid w:val="00141408"/>
    <w:pPr>
      <w:suppressLineNumbers/>
      <w:tabs>
        <w:tab w:val="center" w:pos="4819"/>
        <w:tab w:val="right" w:pos="9638"/>
      </w:tabs>
    </w:pPr>
  </w:style>
  <w:style w:type="paragraph" w:customStyle="1" w:styleId="Encabezadodelatabla">
    <w:name w:val="Encabezado de la tabla"/>
    <w:basedOn w:val="Contenidodelatabla"/>
    <w:qFormat/>
    <w:rsid w:val="00141408"/>
    <w:pPr>
      <w:jc w:val="center"/>
    </w:pPr>
    <w:rPr>
      <w:b/>
      <w:bCs/>
    </w:rPr>
  </w:style>
  <w:style w:type="paragraph" w:styleId="Textodeglobo">
    <w:name w:val="Balloon Text"/>
    <w:basedOn w:val="Normal"/>
    <w:qFormat/>
    <w:rsid w:val="00141408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Normal"/>
    <w:qFormat/>
    <w:rsid w:val="00D342F2"/>
    <w:pPr>
      <w:suppressAutoHyphens w:val="0"/>
      <w:spacing w:beforeAutospacing="1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630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5150</Characters>
  <Application>Microsoft Office Word</Application>
  <DocSecurity>0</DocSecurity>
  <Lines>42</Lines>
  <Paragraphs>12</Paragraphs>
  <ScaleCrop>false</ScaleCrop>
  <Company>concello de ourense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Concello de Ourense reforzará este anmpo os programas de beenstar Social destinados a…</dc:title>
  <dc:creator>osgoso</dc:creator>
  <cp:lastModifiedBy>Oscar</cp:lastModifiedBy>
  <cp:revision>2</cp:revision>
  <cp:lastPrinted>2022-12-22T09:32:00Z</cp:lastPrinted>
  <dcterms:created xsi:type="dcterms:W3CDTF">2022-12-22T10:10:00Z</dcterms:created>
  <dcterms:modified xsi:type="dcterms:W3CDTF">2022-12-22T10:10:00Z</dcterms:modified>
  <dc:language>gl-ES</dc:language>
</cp:coreProperties>
</file>